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90/2026/RatsgartenStadtmauer-L2/VOB-öA</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02.07.2026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Gestaltung des Ratsgarten und Sanierung der angrenzenden Stadtmauer; Los 2 - Landschaftsbauarbeiten</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